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8E" w:rsidRDefault="0072498E">
      <w:pPr>
        <w:spacing w:line="640" w:lineRule="exact"/>
        <w:rPr>
          <w:rFonts w:ascii="华文中宋" w:eastAsia="华文中宋" w:hAnsi="华文中宋" w:cs="黑体"/>
          <w:sz w:val="44"/>
          <w:szCs w:val="44"/>
        </w:rPr>
      </w:pPr>
      <w:r>
        <w:rPr>
          <w:rFonts w:ascii="仿宋_GB2312" w:eastAsia="仿宋_GB2312" w:cs="仿宋_GB2312" w:hint="eastAsia"/>
          <w:sz w:val="32"/>
          <w:szCs w:val="32"/>
        </w:rPr>
        <w:t>附件：</w:t>
      </w:r>
    </w:p>
    <w:p w:rsidR="0072498E" w:rsidRDefault="0072498E">
      <w:pPr>
        <w:spacing w:line="640" w:lineRule="exact"/>
        <w:jc w:val="center"/>
        <w:rPr>
          <w:rFonts w:ascii="华文中宋" w:eastAsia="华文中宋" w:hAnsi="华文中宋"/>
          <w:sz w:val="44"/>
          <w:szCs w:val="44"/>
        </w:rPr>
      </w:pPr>
      <w:r>
        <w:rPr>
          <w:rFonts w:ascii="华文中宋" w:eastAsia="华文中宋" w:hAnsi="华文中宋" w:cs="黑体" w:hint="eastAsia"/>
          <w:sz w:val="44"/>
          <w:szCs w:val="44"/>
        </w:rPr>
        <w:t>湛江市房地产中介行业信用记分规则及标准</w:t>
      </w:r>
    </w:p>
    <w:p w:rsidR="0072498E" w:rsidRDefault="0072498E">
      <w:pPr>
        <w:spacing w:line="640" w:lineRule="exact"/>
        <w:ind w:firstLineChars="200" w:firstLine="640"/>
        <w:rPr>
          <w:rFonts w:ascii="仿宋_GB2312" w:eastAsia="仿宋_GB2312" w:hAnsi="仿宋_GB2312"/>
          <w:sz w:val="32"/>
          <w:szCs w:val="32"/>
        </w:rPr>
      </w:pPr>
    </w:p>
    <w:p w:rsidR="0072498E" w:rsidRDefault="0072498E">
      <w:pPr>
        <w:spacing w:line="64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一、记分规则</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、计算公式</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诚信得分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年度初始诚信评分＋诚信加分、扣分</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、年度初始诚信评分</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首个评定年度的初始诚信评分为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分，随后每个评定年度初始诚信评分按如下规则计算：</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年度初始诚信评分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上年度末诚信评分值×</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中介协会对中介机构的自律评分×</w:t>
      </w:r>
      <w:r>
        <w:rPr>
          <w:rFonts w:ascii="仿宋_GB2312" w:eastAsia="仿宋_GB2312" w:hAnsi="仿宋_GB2312" w:cs="仿宋_GB2312"/>
          <w:sz w:val="32"/>
          <w:szCs w:val="32"/>
        </w:rPr>
        <w:t>20% +60</w:t>
      </w:r>
      <w:r>
        <w:rPr>
          <w:rFonts w:ascii="仿宋_GB2312" w:eastAsia="仿宋_GB2312" w:hAnsi="仿宋_GB2312" w:cs="仿宋_GB2312" w:hint="eastAsia"/>
          <w:sz w:val="32"/>
          <w:szCs w:val="32"/>
        </w:rPr>
        <w:t>分</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、中介协会自律评分</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中介协会对中介机构的自律评分是指中介协会根据日常检查、行业评比所掌握的情况，对年度内机构自律情况的综合评价得分，满分</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w:t>
      </w:r>
    </w:p>
    <w:p w:rsidR="0072498E" w:rsidRDefault="0072498E">
      <w:pPr>
        <w:spacing w:line="64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二、计分标准</w:t>
      </w:r>
    </w:p>
    <w:p w:rsidR="0072498E" w:rsidRDefault="0072498E">
      <w:pPr>
        <w:spacing w:line="64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（一）诚信加分</w:t>
      </w:r>
    </w:p>
    <w:p w:rsidR="0072498E" w:rsidRDefault="0072498E">
      <w:pPr>
        <w:spacing w:line="640" w:lineRule="exact"/>
        <w:ind w:firstLineChars="221" w:firstLine="707"/>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、中介机构在诚信系统申报信息完整的，每一评定年度累计加分不超过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、在考评年度内获得行政机关、中介协会、金融机构等单位表彰、奖励的，视表彰级别和重要性每项加</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分，但同一奖项累计加分不超过</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分；</w:t>
      </w:r>
    </w:p>
    <w:p w:rsidR="0072498E" w:rsidRDefault="0072498E">
      <w:pPr>
        <w:spacing w:line="64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、中介机构及从业人员被服务对象表扬，每件加</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分，每一评定年度本项累计加分最高不超过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72498E" w:rsidRDefault="0072498E">
      <w:pPr>
        <w:spacing w:line="64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、中介机构及从业人员配合政府部门开展各项工作，每次加</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分，每一评定年度本项累计加分最高不超过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72498E" w:rsidRDefault="0072498E">
      <w:pPr>
        <w:spacing w:line="64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（二）诚信扣分</w:t>
      </w:r>
    </w:p>
    <w:p w:rsidR="0072498E" w:rsidRDefault="0072498E">
      <w:pPr>
        <w:spacing w:line="64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扣分标准详见附表所列标准。</w:t>
      </w:r>
    </w:p>
    <w:p w:rsidR="0072498E" w:rsidRDefault="0072498E">
      <w:pPr>
        <w:spacing w:line="640" w:lineRule="exact"/>
        <w:ind w:firstLineChars="200" w:firstLine="643"/>
        <w:rPr>
          <w:rFonts w:ascii="仿宋_GB2312" w:eastAsia="仿宋_GB2312" w:hAnsi="仿宋_GB2312"/>
          <w:b/>
          <w:bCs/>
          <w:sz w:val="32"/>
          <w:szCs w:val="32"/>
        </w:rPr>
      </w:pPr>
      <w:r>
        <w:rPr>
          <w:rFonts w:ascii="仿宋_GB2312" w:eastAsia="仿宋_GB2312" w:hAnsi="仿宋_GB2312" w:cs="仿宋_GB2312" w:hint="eastAsia"/>
          <w:b/>
          <w:bCs/>
          <w:sz w:val="32"/>
          <w:szCs w:val="32"/>
        </w:rPr>
        <w:t>三、记分程序</w:t>
      </w:r>
    </w:p>
    <w:p w:rsidR="0072498E" w:rsidRDefault="0072498E">
      <w:pPr>
        <w:spacing w:line="64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（一）加分</w:t>
      </w:r>
    </w:p>
    <w:p w:rsidR="0072498E" w:rsidRDefault="0072498E">
      <w:pPr>
        <w:spacing w:line="64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中介机构符合加分条件的，向市住建局部门申报，经核实后予以加分。</w:t>
      </w:r>
    </w:p>
    <w:p w:rsidR="0072498E" w:rsidRDefault="0072498E">
      <w:pPr>
        <w:spacing w:line="64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（二）扣分</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1. </w:t>
      </w:r>
      <w:r>
        <w:rPr>
          <w:rFonts w:ascii="仿宋_GB2312" w:eastAsia="仿宋_GB2312" w:hAnsi="仿宋_GB2312" w:cs="仿宋_GB2312" w:hint="eastAsia"/>
          <w:sz w:val="32"/>
          <w:szCs w:val="32"/>
        </w:rPr>
        <w:t>市住建局根据中介机构及从业人员违规情况的轻重程度联合中介协会行使自由裁量权，除了记分值为</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分的项目外，其它项目分三个阶段在记分值范围内累计扣分：发现违法、违规情况的予以初次扣分并发出责令限期整改通知书，限期整改不合格的责令再次整改，拒不整改的或再次整改不合格的继续扣分直至该项分值被全部扣完。</w:t>
      </w:r>
    </w:p>
    <w:p w:rsidR="0072498E" w:rsidRDefault="0072498E">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违反行业自律、被中介协会谴责、无正当理由不配合中介协会调解的中介机构及从业人员，中介协会可向市住建局提出扣分要求，审核后予以扣分。</w:t>
      </w:r>
    </w:p>
    <w:p w:rsidR="0072498E" w:rsidRDefault="0072498E">
      <w:pPr>
        <w:spacing w:line="640" w:lineRule="exact"/>
        <w:ind w:firstLineChars="200" w:firstLine="643"/>
        <w:rPr>
          <w:rFonts w:ascii="仿宋_GB2312" w:eastAsia="仿宋_GB2312" w:hAnsi="仿宋_GB2312"/>
          <w:b/>
          <w:bCs/>
          <w:sz w:val="32"/>
          <w:szCs w:val="32"/>
        </w:rPr>
        <w:sectPr w:rsidR="0072498E">
          <w:footerReference w:type="default" r:id="rId6"/>
          <w:type w:val="continuous"/>
          <w:pgSz w:w="11906" w:h="16838"/>
          <w:pgMar w:top="1134" w:right="1134" w:bottom="1134" w:left="1134" w:header="851" w:footer="992" w:gutter="0"/>
          <w:cols w:space="720"/>
          <w:docGrid w:type="lines" w:linePitch="290"/>
        </w:sectPr>
      </w:pPr>
    </w:p>
    <w:p w:rsidR="0072498E" w:rsidRDefault="0072498E">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72498E" w:rsidRDefault="0072498E">
      <w:pPr>
        <w:spacing w:line="640" w:lineRule="exact"/>
        <w:jc w:val="center"/>
        <w:rPr>
          <w:rFonts w:ascii="仿宋_GB2312" w:eastAsia="仿宋_GB2312" w:hAnsi="仿宋_GB2312"/>
          <w:sz w:val="32"/>
          <w:szCs w:val="32"/>
        </w:rPr>
      </w:pPr>
      <w:r>
        <w:rPr>
          <w:rFonts w:ascii="仿宋_GB2312" w:eastAsia="仿宋_GB2312" w:hAnsi="仿宋_GB2312" w:cs="仿宋_GB2312" w:hint="eastAsia"/>
          <w:sz w:val="32"/>
          <w:szCs w:val="32"/>
        </w:rPr>
        <w:t>房地产经纪机构信用记分标准</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7"/>
        <w:gridCol w:w="11751"/>
        <w:gridCol w:w="1800"/>
      </w:tblGrid>
      <w:tr w:rsidR="0072498E">
        <w:trPr>
          <w:trHeight w:val="498"/>
        </w:trPr>
        <w:tc>
          <w:tcPr>
            <w:tcW w:w="777"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内容</w:t>
            </w:r>
          </w:p>
        </w:tc>
        <w:tc>
          <w:tcPr>
            <w:tcW w:w="1800"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记分值</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被服务对象有效投诉的（由市住建局联同中介协会共同判定）</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0.5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被主管部门通报批评的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在服务范围内，一年中经查属实被投诉在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次以上且投诉确定为有效投诉的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5</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未按规定向市住建局办理相关备案手续的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未按《房地产经纪管理办法》第十五条规定在经营场所醒目位置公布有关内容的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7</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未与委托人就经纪服务费用达成书面约定，要求委托人承担经纪服务费用的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8</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未按《房地产经纪管理办法》第二十一条规定向委托人书面告知有关内容的；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9</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收取服务报酬未出具收费凭证的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10</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未达成交易，擅自或交易过程中无理由扣押委托人的房产证和相关隐私资料的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11</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对房地产中介信用信息的征集和披露工作，不予配合的（如有特殊原因，经住建局审批《特殊说明申请函》后，允许有</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个工作天缓冲期）</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经人社部门认定，未按期支付劳动工资、依法购买社保的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13</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对企业的经营业绩、信用状况等作虚假宣传被查实的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14</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因违反政策规定，被主管部门通报批评和责令限期改正的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15</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未按要求在诚信系统填报信息或填报信息不完整的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建议取消此条</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17</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违反《房地产经纪执业规则》第二十七条规定方式赚取差价的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18</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违反规定对服务对象多收费、乱收费的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19</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对客户、使用人的投诉置之不理，经查证属实又不服从行政主管部门指导、监督的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20</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经税务部门认定，与当事人串通，隐瞒真实的交易价格，逃税避税的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21</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无正当理由，不接受行业协会协调、调解处理纠纷的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22</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聘用或指派诚信有问题的从业人员及纳入中介协会黑名单的人员以房地产经纪人的名义从事房地产经纪业务的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23</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骗取、涂改、伪造、变造、出租、出借、转让备案证书或相关许可证明、批准文件等的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24</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泄漏、披露、使用自己应当保守委托人的商业秘密或个人隐私造成较严重后果的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25</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违反市、区房地产中介协会制定的行业自律规定，被行业协会谴责的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因违反房地产相关法律、法规、规章规定，一年内受到两次以上行政处罚的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27</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拒不执行主管部门作出的已经生效的处罚或限期整改决定的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28</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虚构事实或隐瞒真相，对相关当事人进行误导或欺诈，给当事人造成重大损失（由当事人提供证据）的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29</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被有关机关或行业协会认定，采取不正当手段恶性竞争，严重损害行业或同行声誉、利益的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30</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消费者集体投诉并经核实为有责投诉，但未对投诉事件进行处理的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31</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威胁、恐吓、殴打行政执法人员或者采取其他方式阻碍行政执法人员依法履行职责的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在办理相关业务或提交资料过程中弄虚作假或隐瞒真实情况，造成严重后果或恶劣影响的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33</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经有关部门确认，有商业贿赂行为的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34</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提交虚假材料、填写虚假信息骗取诚信加分的，或者提交虚假材料、隐瞒不填相关信息躲避诚信扣分的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r>
              <w:rPr>
                <w:rFonts w:ascii="仿宋_GB2312" w:eastAsia="仿宋_GB2312" w:hAnsi="宋体" w:cs="仿宋_GB2312"/>
                <w:sz w:val="24"/>
                <w:szCs w:val="24"/>
              </w:rPr>
              <w:t>/</w:t>
            </w:r>
            <w:r>
              <w:rPr>
                <w:rFonts w:ascii="仿宋_GB2312" w:eastAsia="仿宋_GB2312" w:hAnsi="宋体" w:cs="仿宋_GB2312" w:hint="eastAsia"/>
                <w:sz w:val="24"/>
                <w:szCs w:val="24"/>
              </w:rPr>
              <w:t>份材料</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35</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未按规定组织所属从业人员参加继续教育、行业培训活动的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36</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中介机构聘用被纳入诚信黑名单的从业人员，其任职企业减分</w:t>
            </w:r>
          </w:p>
        </w:tc>
        <w:tc>
          <w:tcPr>
            <w:tcW w:w="1800" w:type="dxa"/>
          </w:tcPr>
          <w:p w:rsidR="0072498E" w:rsidRDefault="0072498E">
            <w:pPr>
              <w:spacing w:line="640" w:lineRule="exact"/>
              <w:jc w:val="center"/>
              <w:rPr>
                <w:rFonts w:ascii="仿宋_GB2312" w:eastAsia="仿宋_GB2312" w:hAnsi="宋体" w:cs="仿宋_GB2312"/>
                <w:sz w:val="24"/>
                <w:szCs w:val="24"/>
              </w:rPr>
            </w:pP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37</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Pr>
          <w:p w:rsidR="0072498E" w:rsidRDefault="0072498E">
            <w:pPr>
              <w:spacing w:line="640" w:lineRule="exact"/>
              <w:jc w:val="center"/>
              <w:rPr>
                <w:rFonts w:ascii="仿宋_GB2312" w:eastAsia="仿宋_GB2312" w:hAnsi="宋体" w:cs="仿宋_GB2312"/>
                <w:sz w:val="24"/>
                <w:szCs w:val="24"/>
              </w:rPr>
            </w:pPr>
          </w:p>
        </w:tc>
      </w:tr>
    </w:tbl>
    <w:p w:rsidR="0072498E" w:rsidRDefault="0072498E">
      <w:pPr>
        <w:spacing w:line="640" w:lineRule="exact"/>
        <w:rPr>
          <w:rFonts w:ascii="仿宋_GB2312" w:eastAsia="仿宋_GB2312" w:hAnsi="仿宋_GB2312" w:cs="仿宋_GB2312"/>
          <w:sz w:val="32"/>
          <w:szCs w:val="32"/>
        </w:rPr>
      </w:pPr>
    </w:p>
    <w:p w:rsidR="0072498E" w:rsidRDefault="0072498E">
      <w:pPr>
        <w:spacing w:line="640" w:lineRule="exact"/>
        <w:rPr>
          <w:rFonts w:ascii="仿宋_GB2312" w:eastAsia="仿宋_GB2312" w:hAnsi="仿宋_GB2312" w:cs="仿宋_GB2312"/>
          <w:sz w:val="32"/>
          <w:szCs w:val="32"/>
        </w:rPr>
      </w:pPr>
    </w:p>
    <w:p w:rsidR="0072498E" w:rsidRDefault="0072498E">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72498E" w:rsidRDefault="0072498E">
      <w:pPr>
        <w:spacing w:line="640" w:lineRule="exact"/>
        <w:jc w:val="center"/>
        <w:rPr>
          <w:rFonts w:ascii="仿宋_GB2312" w:eastAsia="仿宋_GB2312" w:hAnsi="仿宋_GB2312"/>
          <w:sz w:val="32"/>
          <w:szCs w:val="32"/>
        </w:rPr>
      </w:pPr>
      <w:r>
        <w:rPr>
          <w:rFonts w:ascii="仿宋_GB2312" w:eastAsia="仿宋_GB2312" w:hAnsi="仿宋_GB2312" w:cs="仿宋_GB2312" w:hint="eastAsia"/>
          <w:sz w:val="32"/>
          <w:szCs w:val="32"/>
        </w:rPr>
        <w:t>房地产经纪人员信用记分标准</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7"/>
        <w:gridCol w:w="11751"/>
        <w:gridCol w:w="1800"/>
      </w:tblGrid>
      <w:tr w:rsidR="0072498E">
        <w:trPr>
          <w:trHeight w:val="454"/>
        </w:trPr>
        <w:tc>
          <w:tcPr>
            <w:tcW w:w="777"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内容</w:t>
            </w:r>
          </w:p>
        </w:tc>
        <w:tc>
          <w:tcPr>
            <w:tcW w:w="1800"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记分值</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被服务对象有效投诉的（由住建局联同中介协会共同判定）</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0.5</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开展业务时，未按规定向服务对象出示有关证件的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被主管部门通报批评的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4</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在服务范围内，一年中经查实被投诉在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次以上且该投诉确定为有效投诉的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5</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以个人名义承揽房地产经纪业务的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6</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未按规定参加继续教育、行业培训活动的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7</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对企业和本人的经营业绩、信用状况等作虚假宣传或者伪造业绩、其他文件的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8</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为承揽业务，向服务对象作虚假承诺的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9</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隐瞒或者欺骗委托人推荐使用与本企业有直接利益关系的担保、估价、保险、金融等机构的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10</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开展业务时，未如实向服务对象说明服务内容、收费标准及标的物状况的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11</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对房地产中介的信用信息征集和披露等工作不予配合的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被有关机关或行业协会认定，采取不正当手段恶性竞争，严重损害行业或同行声誉、利益的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13</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未按要求在诚信系统填报信息或填报信息不完整的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14</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以他人名义或者允许他人以自己名义执业的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15</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在经纪活动时，隐瞒有关标的物的真实情况或者虚构事实，给当事人造成损失的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16</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在经纪活动中，向委托人隐瞒与交易有关的重要事项，或者提供虚假的订约信息或与交易有关的资料的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17</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脱离、隐瞒、欺骗房地产经纪机构开展经纪业务的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18</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故意从事一房多卖或一房多租等非法经纪活动的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19</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未经委托人同意且非为委托人利益，擅自超越委托权限从事业务活动，给委托人造成损失的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20</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泄漏、披露、使用应当保守委托人的商业秘密或个人隐私的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21</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变更聘用企业后，故意隐瞒或拒不归还自己占有的原聘用单位的商业信息的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超出规定执业范围或者聘用单位业务范围从事相关执业活动的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23</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弄虚作假提供执业活动成果的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24</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经税务部门认定，与当事人串通，隐瞒真实的交易价格，逃税避税的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25</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擅自挪用、拖延支付客户的房地产交易资金的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违反规定，擅自代收交易当事人支付的交易款项的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27</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违反《房地产经纪执业规则》第二十七条规定方式瞒骗交易双方赚取差价的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28</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利用从事业务的便利，收受回扣或者服务报酬以外的其他不正当利益的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29</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违反市、区房地产中介协会制定的行业自律有关要求的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30</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未取得、被吊销职业资格证书、注册证书、岗位培训合格证等，仍以房地产经纪人名义开展业务的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31</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骗取、涂改、伪造、变造、出租、出借、转让资格证书、执业证书、注册证书、岗位培训合格证书等的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32</w:t>
            </w:r>
          </w:p>
        </w:tc>
        <w:tc>
          <w:tcPr>
            <w:tcW w:w="11751" w:type="dxa"/>
          </w:tcPr>
          <w:p w:rsidR="0072498E" w:rsidRDefault="0072498E">
            <w:pPr>
              <w:spacing w:line="640" w:lineRule="exact"/>
              <w:rPr>
                <w:rFonts w:ascii="仿宋_GB2312" w:eastAsia="仿宋_GB2312" w:hAnsi="仿宋_GB2312"/>
                <w:sz w:val="24"/>
                <w:szCs w:val="24"/>
              </w:rPr>
            </w:pPr>
            <w:r>
              <w:rPr>
                <w:rFonts w:ascii="仿宋_GB2312" w:eastAsia="仿宋_GB2312" w:hAnsi="仿宋_GB2312" w:cs="仿宋_GB2312" w:hint="eastAsia"/>
                <w:sz w:val="24"/>
                <w:szCs w:val="24"/>
              </w:rPr>
              <w:t>变更聘用单位后，披露、使用或者允许他人使用所掌握的原聘用单位商业秘密，给原聘用单位造成严重后果的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33</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因执行房地产经纪业务中的故意或重大过失，给所在企业、当事人造成较大损失的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34</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违反法律规定、合同约定，擅自单方面解除合同的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35</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违反市、区房地产中介协会制定的行业自律规定，被行业协会谴责的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36</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因执行房地产经纪业务的行为犯罪，被依法追究刑事责任的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37</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因执行房地产经纪业务的行为，一年内受到两次以上行政处罚的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38</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拒不执行主管部门作出的已经生效的处罚或限期整改决定的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39</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虚构事实或隐瞒真相，对相关当事人进行误导或欺诈，给企业、当事人造成重大损失的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454"/>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40</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提交虚假材料、填写虚假信息骗取诚信加分的，或者提交虚假材料、隐瞒不填相关信息躲避诚信扣分的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r>
              <w:rPr>
                <w:rFonts w:ascii="仿宋_GB2312" w:eastAsia="仿宋_GB2312" w:hAnsi="宋体" w:cs="仿宋_GB2312"/>
                <w:sz w:val="24"/>
                <w:szCs w:val="24"/>
              </w:rPr>
              <w:t>/</w:t>
            </w:r>
            <w:r>
              <w:rPr>
                <w:rFonts w:ascii="仿宋_GB2312" w:eastAsia="仿宋_GB2312" w:hAnsi="宋体" w:cs="仿宋_GB2312" w:hint="eastAsia"/>
                <w:sz w:val="24"/>
                <w:szCs w:val="24"/>
              </w:rPr>
              <w:t>份材料</w:t>
            </w: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41</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从业人员被减分的，其任职企业同等减分，其中聘用不具备任职资格的，其任职企业加倍减分</w:t>
            </w:r>
          </w:p>
        </w:tc>
        <w:tc>
          <w:tcPr>
            <w:tcW w:w="1800" w:type="dxa"/>
          </w:tcPr>
          <w:p w:rsidR="0072498E" w:rsidRDefault="0072498E">
            <w:pPr>
              <w:spacing w:line="640" w:lineRule="exact"/>
              <w:jc w:val="center"/>
              <w:rPr>
                <w:rFonts w:ascii="仿宋_GB2312" w:eastAsia="仿宋_GB2312" w:hAnsi="宋体" w:cs="仿宋_GB2312"/>
                <w:sz w:val="24"/>
                <w:szCs w:val="24"/>
              </w:rPr>
            </w:pPr>
          </w:p>
        </w:tc>
      </w:tr>
      <w:tr w:rsidR="0072498E">
        <w:trPr>
          <w:trHeight w:val="454"/>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42</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Pr>
          <w:p w:rsidR="0072498E" w:rsidRDefault="0072498E">
            <w:pPr>
              <w:spacing w:line="640" w:lineRule="exact"/>
              <w:jc w:val="center"/>
              <w:rPr>
                <w:rFonts w:ascii="仿宋_GB2312" w:eastAsia="仿宋_GB2312" w:hAnsi="宋体" w:cs="仿宋_GB2312"/>
                <w:sz w:val="24"/>
                <w:szCs w:val="24"/>
              </w:rPr>
            </w:pPr>
          </w:p>
        </w:tc>
      </w:tr>
    </w:tbl>
    <w:p w:rsidR="0072498E" w:rsidRDefault="0072498E">
      <w:pPr>
        <w:spacing w:line="640" w:lineRule="exact"/>
        <w:rPr>
          <w:rFonts w:ascii="仿宋_GB2312" w:eastAsia="仿宋_GB2312" w:hAnsi="仿宋_GB2312"/>
          <w:sz w:val="32"/>
          <w:szCs w:val="32"/>
        </w:rPr>
        <w:sectPr w:rsidR="0072498E">
          <w:type w:val="continuous"/>
          <w:pgSz w:w="16838" w:h="11906" w:orient="landscape"/>
          <w:pgMar w:top="1134" w:right="1134" w:bottom="1134" w:left="1134" w:header="851" w:footer="992" w:gutter="0"/>
          <w:cols w:space="720"/>
          <w:docGrid w:type="lines" w:linePitch="290"/>
        </w:sectPr>
      </w:pPr>
    </w:p>
    <w:p w:rsidR="0072498E" w:rsidRDefault="0072498E">
      <w:pPr>
        <w:spacing w:line="640" w:lineRule="exact"/>
        <w:jc w:val="center"/>
        <w:rPr>
          <w:rFonts w:ascii="仿宋_GB2312" w:eastAsia="仿宋_GB2312" w:hAnsi="仿宋_GB2312" w:cs="仿宋_GB2312"/>
          <w:sz w:val="32"/>
          <w:szCs w:val="32"/>
        </w:rPr>
      </w:pPr>
    </w:p>
    <w:p w:rsidR="0072498E" w:rsidRDefault="0072498E">
      <w:pPr>
        <w:spacing w:line="640" w:lineRule="exact"/>
        <w:jc w:val="center"/>
        <w:rPr>
          <w:rFonts w:ascii="仿宋_GB2312" w:eastAsia="仿宋_GB2312" w:hAnsi="仿宋_GB2312" w:cs="仿宋_GB2312"/>
          <w:sz w:val="32"/>
          <w:szCs w:val="32"/>
        </w:rPr>
      </w:pPr>
    </w:p>
    <w:p w:rsidR="0072498E" w:rsidRDefault="0072498E">
      <w:pPr>
        <w:spacing w:line="640" w:lineRule="exact"/>
        <w:jc w:val="center"/>
        <w:rPr>
          <w:rFonts w:ascii="仿宋_GB2312" w:eastAsia="仿宋_GB2312" w:hAnsi="仿宋_GB2312" w:cs="仿宋_GB2312"/>
          <w:sz w:val="32"/>
          <w:szCs w:val="32"/>
        </w:rPr>
      </w:pPr>
    </w:p>
    <w:p w:rsidR="0072498E" w:rsidRDefault="0072498E">
      <w:pPr>
        <w:spacing w:line="640" w:lineRule="exact"/>
        <w:jc w:val="center"/>
        <w:rPr>
          <w:rFonts w:ascii="仿宋_GB2312" w:eastAsia="仿宋_GB2312" w:hAnsi="仿宋_GB2312" w:cs="仿宋_GB2312"/>
          <w:sz w:val="32"/>
          <w:szCs w:val="32"/>
        </w:rPr>
      </w:pPr>
    </w:p>
    <w:p w:rsidR="0072498E" w:rsidRDefault="0072498E">
      <w:pPr>
        <w:spacing w:line="640" w:lineRule="exact"/>
        <w:jc w:val="center"/>
        <w:rPr>
          <w:rFonts w:ascii="仿宋_GB2312" w:eastAsia="仿宋_GB2312" w:hAnsi="仿宋_GB2312" w:cs="仿宋_GB2312"/>
          <w:sz w:val="32"/>
          <w:szCs w:val="32"/>
        </w:rPr>
      </w:pPr>
    </w:p>
    <w:p w:rsidR="0072498E" w:rsidRDefault="0072498E">
      <w:pPr>
        <w:spacing w:line="640" w:lineRule="exact"/>
        <w:jc w:val="center"/>
        <w:rPr>
          <w:rFonts w:ascii="仿宋_GB2312" w:eastAsia="仿宋_GB2312" w:hAnsi="仿宋_GB2312" w:cs="仿宋_GB2312"/>
          <w:sz w:val="32"/>
          <w:szCs w:val="32"/>
        </w:rPr>
      </w:pPr>
    </w:p>
    <w:p w:rsidR="0072498E" w:rsidRDefault="0072498E">
      <w:pPr>
        <w:spacing w:line="640" w:lineRule="exact"/>
        <w:jc w:val="center"/>
        <w:rPr>
          <w:rFonts w:ascii="仿宋_GB2312" w:eastAsia="仿宋_GB2312" w:hAnsi="仿宋_GB2312" w:cs="仿宋_GB2312"/>
          <w:sz w:val="32"/>
          <w:szCs w:val="32"/>
        </w:rPr>
      </w:pPr>
    </w:p>
    <w:p w:rsidR="0072498E" w:rsidRDefault="0072498E">
      <w:pPr>
        <w:spacing w:line="640" w:lineRule="exact"/>
        <w:rPr>
          <w:rFonts w:ascii="仿宋_GB2312" w:eastAsia="仿宋_GB2312" w:hAnsi="仿宋_GB2312" w:cs="仿宋_GB2312"/>
          <w:sz w:val="32"/>
          <w:szCs w:val="32"/>
        </w:rPr>
      </w:pPr>
    </w:p>
    <w:p w:rsidR="0072498E" w:rsidRDefault="0072498E">
      <w:pPr>
        <w:spacing w:line="640" w:lineRule="exact"/>
        <w:rPr>
          <w:rFonts w:ascii="仿宋_GB2312" w:eastAsia="仿宋_GB2312" w:hAnsi="仿宋_GB2312" w:cs="仿宋_GB2312"/>
          <w:sz w:val="32"/>
          <w:szCs w:val="32"/>
        </w:rPr>
      </w:pPr>
    </w:p>
    <w:p w:rsidR="0072498E" w:rsidRDefault="0072498E">
      <w:pPr>
        <w:spacing w:line="640" w:lineRule="exact"/>
        <w:rPr>
          <w:rFonts w:ascii="仿宋_GB2312" w:eastAsia="仿宋_GB2312" w:hAnsi="仿宋_GB2312" w:cs="仿宋_GB2312"/>
          <w:sz w:val="32"/>
          <w:szCs w:val="32"/>
        </w:rPr>
      </w:pPr>
    </w:p>
    <w:p w:rsidR="0072498E" w:rsidRDefault="0072498E">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72498E" w:rsidRDefault="0072498E">
      <w:pPr>
        <w:spacing w:line="640" w:lineRule="exact"/>
        <w:jc w:val="center"/>
        <w:rPr>
          <w:rFonts w:ascii="仿宋_GB2312" w:eastAsia="仿宋_GB2312" w:hAnsi="仿宋_GB2312"/>
          <w:sz w:val="32"/>
          <w:szCs w:val="32"/>
        </w:rPr>
      </w:pPr>
      <w:r>
        <w:rPr>
          <w:rFonts w:ascii="仿宋_GB2312" w:eastAsia="仿宋_GB2312" w:hAnsi="仿宋_GB2312" w:cs="仿宋_GB2312" w:hint="eastAsia"/>
          <w:sz w:val="32"/>
          <w:szCs w:val="32"/>
        </w:rPr>
        <w:t>房地产评估机构信用记分标准</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7"/>
        <w:gridCol w:w="11751"/>
        <w:gridCol w:w="1800"/>
      </w:tblGrid>
      <w:tr w:rsidR="0072498E">
        <w:trPr>
          <w:trHeight w:val="347"/>
        </w:trPr>
        <w:tc>
          <w:tcPr>
            <w:tcW w:w="777"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内容</w:t>
            </w:r>
          </w:p>
        </w:tc>
        <w:tc>
          <w:tcPr>
            <w:tcW w:w="1800"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记分值</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被服务对象有效投诉的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0.5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被主管部门通报批评的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在服务范围内，一年中经查实被投诉在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次以上且该投诉确定为有效投诉的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4</w:t>
            </w:r>
          </w:p>
        </w:tc>
        <w:tc>
          <w:tcPr>
            <w:tcW w:w="11751" w:type="dxa"/>
            <w:vAlign w:val="center"/>
          </w:tcPr>
          <w:p w:rsidR="0072498E" w:rsidRDefault="0072498E">
            <w:pPr>
              <w:spacing w:line="640" w:lineRule="exact"/>
              <w:rPr>
                <w:rFonts w:ascii="仿宋_GB2312" w:eastAsia="仿宋_GB2312" w:hAnsi="仿宋_GB2312" w:cs="仿宋_GB2312"/>
                <w:sz w:val="24"/>
                <w:szCs w:val="24"/>
              </w:rPr>
            </w:pPr>
            <w:r>
              <w:rPr>
                <w:rFonts w:ascii="仿宋_GB2312" w:eastAsia="仿宋_GB2312" w:cs="仿宋_GB2312" w:hint="eastAsia"/>
                <w:sz w:val="24"/>
                <w:szCs w:val="24"/>
              </w:rPr>
              <w:t>非本市企业未提交在本市开设分公司的工商营业登记执照副本（多证合一）的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5</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未在经营场所或交缴费用地点的醒目位置公布按规定应当明示的材料的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提供关联服务，未向委托人说明服务内容和收费标准的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7</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未经委托人同意，擅自将估价业务转委托的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8</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收取服务报酬未出具收费凭证的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9</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本机构人员执行企业职务过程中的违反估价规范或其他不良信用行为，存在过失的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10</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因估价过程中的过失，导致估价报告失实，给委托人造成损失，情节较轻的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11</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对房地产中介信用信息的征集和披露工作，不予配合的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因违反政策规定，被主管部门通报批评和责令限期改正的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13</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对企业的经营业绩、信用状况等作虚假宣传被查实的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14</w:t>
            </w:r>
          </w:p>
        </w:tc>
        <w:tc>
          <w:tcPr>
            <w:tcW w:w="11751" w:type="dxa"/>
          </w:tcPr>
          <w:p w:rsidR="0072498E" w:rsidRDefault="0072498E">
            <w:pPr>
              <w:spacing w:line="640" w:lineRule="exact"/>
              <w:rPr>
                <w:rFonts w:ascii="仿宋_GB2312" w:eastAsia="仿宋_GB2312" w:hAnsi="仿宋_GB2312"/>
                <w:sz w:val="24"/>
                <w:szCs w:val="24"/>
              </w:rPr>
            </w:pPr>
            <w:r>
              <w:rPr>
                <w:rFonts w:ascii="仿宋_GB2312" w:eastAsia="仿宋_GB2312" w:hAnsi="仿宋_GB2312" w:cs="仿宋_GB2312" w:hint="eastAsia"/>
                <w:sz w:val="24"/>
                <w:szCs w:val="24"/>
              </w:rPr>
              <w:t>被有关机关或行业协会认定，采取不正当手段恶性竞争，严重损害行业或同行声誉、利益的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15</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未按要求在诚信系统填报信息或填报信息不完整的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超越资质等级开展房地产估价业务的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17</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聘用或指派未取得或被吊销资格证书的人员以房地产估价师的名义从事房地产估价业务的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18</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以排挤竞争对手为目的，以明显不合理的低价承揽业务的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19</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违反规定对服务对象乱收费的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20</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无正当理由，不接受行业协会协调、调解处理纠纷的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21</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违反市、区房地产中介协会制定的行业自律有关要求的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经有关部门认定，未按期支付劳动工资、依法购买保险的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23</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未取得或被吊销资质证书，开展房地产估价业务的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24</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骗取、涂改、伪造、变造、出租、出借、转让资质证书或相关许可证明、批准文件等的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25</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与一方当事人串通或者为其他目的，故意出具虚假不实的估价报告，造成较严重后果的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因估价过程中的重大过失，导致估价报告失实，给企业、委托人造成损失，情节较严重的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27</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泄漏、披露、使用自己应当保守委托人的商业秘密或个人隐私的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28</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与当事人串通，隐瞒真实的交易价格，逃税避税的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29</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违反市、区房地产中介协会制定的行业自律规定，被行业协会谴责的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30</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企业法定代表人或执行合伙人、主要股东或合伙人因执行企业职务的行为犯罪，被依法追究刑事责任的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31</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因违反房地产相关法律、法规、规章规定，一年内受到两次以上行政处罚的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拒不执行主管部门作出的已经生效的处罚或限期整改决定的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33</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消费者集体投诉并经核实为有责投诉，但未对投诉事件进行处理的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34</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威胁、恐吓、殴打行政执法人员或者采取其他方式阻碍行政执法人员依法履行职责的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35</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经有关部门确认，有商业贿赂行为的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36</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提交虚假材料、填写虚假信息骗取诚信加分的，或者提交虚假材料、隐瞒不填相关信息躲避诚信扣分的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r>
              <w:rPr>
                <w:rFonts w:ascii="仿宋_GB2312" w:eastAsia="仿宋_GB2312" w:hAnsi="宋体" w:cs="仿宋_GB2312"/>
                <w:sz w:val="24"/>
                <w:szCs w:val="24"/>
              </w:rPr>
              <w:t>/</w:t>
            </w:r>
            <w:r>
              <w:rPr>
                <w:rFonts w:ascii="仿宋_GB2312" w:eastAsia="仿宋_GB2312" w:hAnsi="宋体" w:cs="仿宋_GB2312" w:hint="eastAsia"/>
                <w:sz w:val="24"/>
                <w:szCs w:val="24"/>
              </w:rPr>
              <w:t>份材料</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37</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从业人员被减分的，其任职企业同等减分，其中聘用不具备任职资格的，其任职企业加倍减分</w:t>
            </w:r>
          </w:p>
        </w:tc>
        <w:tc>
          <w:tcPr>
            <w:tcW w:w="1800" w:type="dxa"/>
          </w:tcPr>
          <w:p w:rsidR="0072498E" w:rsidRDefault="0072498E">
            <w:pPr>
              <w:spacing w:line="640" w:lineRule="exact"/>
              <w:jc w:val="center"/>
              <w:rPr>
                <w:rFonts w:ascii="仿宋_GB2312" w:eastAsia="仿宋_GB2312" w:hAnsi="宋体" w:cs="仿宋_GB2312"/>
                <w:sz w:val="24"/>
                <w:szCs w:val="24"/>
              </w:rPr>
            </w:pP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38</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Pr>
          <w:p w:rsidR="0072498E" w:rsidRDefault="0072498E">
            <w:pPr>
              <w:spacing w:line="640" w:lineRule="exact"/>
              <w:jc w:val="center"/>
              <w:rPr>
                <w:rFonts w:ascii="仿宋_GB2312" w:eastAsia="仿宋_GB2312" w:hAnsi="宋体" w:cs="仿宋_GB2312"/>
                <w:sz w:val="24"/>
                <w:szCs w:val="24"/>
              </w:rPr>
            </w:pPr>
          </w:p>
        </w:tc>
      </w:tr>
    </w:tbl>
    <w:p w:rsidR="0072498E" w:rsidRDefault="0072498E">
      <w:pPr>
        <w:spacing w:line="640" w:lineRule="exact"/>
        <w:rPr>
          <w:rFonts w:ascii="仿宋_GB2312" w:eastAsia="仿宋_GB2312" w:hAnsi="仿宋_GB2312"/>
          <w:sz w:val="32"/>
          <w:szCs w:val="32"/>
        </w:rPr>
      </w:pPr>
    </w:p>
    <w:p w:rsidR="0072498E" w:rsidRDefault="0072498E">
      <w:pPr>
        <w:spacing w:line="640" w:lineRule="exact"/>
        <w:rPr>
          <w:rFonts w:ascii="仿宋_GB2312" w:eastAsia="仿宋_GB2312" w:hAnsi="仿宋_GB2312"/>
          <w:sz w:val="32"/>
          <w:szCs w:val="32"/>
        </w:rPr>
        <w:sectPr w:rsidR="0072498E">
          <w:type w:val="continuous"/>
          <w:pgSz w:w="16838" w:h="11906" w:orient="landscape"/>
          <w:pgMar w:top="1134" w:right="1134" w:bottom="1134" w:left="1134" w:header="851" w:footer="992" w:gutter="0"/>
          <w:cols w:space="720"/>
          <w:docGrid w:type="lines" w:linePitch="290"/>
        </w:sectPr>
      </w:pPr>
    </w:p>
    <w:p w:rsidR="0072498E" w:rsidRDefault="0072498E">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附表</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p>
    <w:p w:rsidR="0072498E" w:rsidRDefault="0072498E">
      <w:pPr>
        <w:spacing w:line="640" w:lineRule="exact"/>
        <w:jc w:val="center"/>
        <w:rPr>
          <w:rFonts w:ascii="仿宋_GB2312" w:eastAsia="仿宋_GB2312" w:hAnsi="仿宋_GB2312"/>
          <w:sz w:val="32"/>
          <w:szCs w:val="32"/>
        </w:rPr>
      </w:pPr>
      <w:r>
        <w:rPr>
          <w:rFonts w:ascii="仿宋_GB2312" w:eastAsia="仿宋_GB2312" w:hAnsi="仿宋_GB2312" w:cs="仿宋_GB2312" w:hint="eastAsia"/>
          <w:sz w:val="32"/>
          <w:szCs w:val="32"/>
        </w:rPr>
        <w:t>房地产估价师信用记分标准</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7"/>
        <w:gridCol w:w="11751"/>
        <w:gridCol w:w="1800"/>
      </w:tblGrid>
      <w:tr w:rsidR="0072498E">
        <w:trPr>
          <w:trHeight w:val="347"/>
        </w:trPr>
        <w:tc>
          <w:tcPr>
            <w:tcW w:w="777"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内容</w:t>
            </w:r>
          </w:p>
        </w:tc>
        <w:tc>
          <w:tcPr>
            <w:tcW w:w="1800" w:type="dxa"/>
          </w:tcPr>
          <w:p w:rsidR="0072498E" w:rsidRDefault="0072498E">
            <w:pPr>
              <w:spacing w:line="6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记分值</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被服务对象有效投诉的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0.5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开展业务时，未按规定向服务对象出示有关证件的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被主管部门通报批评的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4</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在服务范围内，一年中经查属实被投诉在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次以上且该投诉确定为有效投诉的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5</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未按规定办理执业情况变更手续的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未按规定参加继续教育、行业培训活动的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7</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对企业和本人的经营业绩、信用状况等作虚假宣传或者伪造业绩、其他文件的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8</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为承揽业务，向服务对象作虚假承诺的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9</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与估价业务的委托人或其他相关当事人有利害关系，应当回避而不回避的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10</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未取得或被吊销资格证书、注册证书、岗位培训合格证书等，而开展业务的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11</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开展业务时，未如实向服务对象说明服务内容、收费标准的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对房地产中介的信用信息征集和披露等工作，不予配合的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13</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未按要求在诚信系统填报信息或填报信息不完整的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14</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以他人名义或者允许他人以自己名义执业的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15</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因估价过程中违反相关规范程序，导致估价报告失实，给委托人造成损失，情节较轻的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泄漏、披露、使用应当保守委托人的商业秘密或个人隐私的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17</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变更聘用企业后，故意隐瞒或拒不归还自己占有的原聘用单位的商业信息的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18</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弄虚作假提供执业活动成果的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19</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未按规定履行职责，给当事人造成损失的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20</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利用从事业务的便利，收受回扣或者服务报酬以外的其他不正当利益的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21</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无正当理由，不接受行业协会协调、调解处理纠纷的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22</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违反市、区房地产中介协会制定的行业自律有关要求的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23</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未取得或被吊销房地产估价师资格证书、注册证书等而以估价师名义开展业务的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24</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骗取、涂改、伪造、变造、出租、出借、转让估价师注册证书、继续教育合格证书等的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25</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变更聘用单位后，披露、使用或者允许他人使用所掌握的原聘用单位商业秘密，给原聘用单位造成严重后果的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26</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因估价过程中故意或重大过失违反规范程序，导致估价报告失实，给所在企业、当事人造成较大损失的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27</w:t>
            </w:r>
          </w:p>
        </w:tc>
        <w:tc>
          <w:tcPr>
            <w:tcW w:w="11751" w:type="dxa"/>
          </w:tcPr>
          <w:p w:rsidR="0072498E" w:rsidRDefault="0072498E">
            <w:pPr>
              <w:spacing w:line="640" w:lineRule="exact"/>
              <w:rPr>
                <w:rFonts w:ascii="仿宋_GB2312" w:eastAsia="仿宋_GB2312" w:hAnsi="宋体"/>
                <w:sz w:val="24"/>
                <w:szCs w:val="24"/>
              </w:rPr>
            </w:pPr>
            <w:r>
              <w:rPr>
                <w:rFonts w:ascii="仿宋_GB2312" w:eastAsia="仿宋_GB2312" w:hAnsi="仿宋_GB2312" w:cs="仿宋_GB2312" w:hint="eastAsia"/>
                <w:sz w:val="24"/>
                <w:szCs w:val="24"/>
              </w:rPr>
              <w:t>被行政主管机关依法予以行政处罚的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28</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违反法律规定、合同约定，擅自单方面解除合同的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29</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违反市、区房地产中介协会制定的行业自律规定，被行业协会谴责的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30</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因执行房地产估价业务的行为犯罪，被依法追究刑事处罚的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31</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拒不执行主管部门作出的已经生效的处罚或限期整改决定的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32</w:t>
            </w:r>
          </w:p>
        </w:tc>
        <w:tc>
          <w:tcPr>
            <w:tcW w:w="11751" w:type="dxa"/>
          </w:tcPr>
          <w:p w:rsidR="0072498E" w:rsidRDefault="0072498E">
            <w:pPr>
              <w:spacing w:line="640" w:lineRule="exact"/>
              <w:rPr>
                <w:rFonts w:ascii="仿宋_GB2312" w:eastAsia="仿宋_GB2312" w:hAnsi="宋体"/>
                <w:kern w:val="0"/>
                <w:sz w:val="24"/>
                <w:szCs w:val="24"/>
              </w:rPr>
            </w:pPr>
            <w:r>
              <w:rPr>
                <w:rFonts w:ascii="仿宋_GB2312" w:eastAsia="仿宋_GB2312" w:hAnsi="仿宋_GB2312" w:cs="仿宋_GB2312" w:hint="eastAsia"/>
                <w:sz w:val="24"/>
                <w:szCs w:val="24"/>
              </w:rPr>
              <w:t>威胁、恐吓、殴打行政执法人员或者采取其他方式阻碍行政执法人员依法履行职责的</w:t>
            </w:r>
          </w:p>
        </w:tc>
        <w:tc>
          <w:tcPr>
            <w:tcW w:w="1800" w:type="dxa"/>
          </w:tcPr>
          <w:p w:rsidR="0072498E" w:rsidRDefault="0072498E">
            <w:pPr>
              <w:spacing w:line="640" w:lineRule="exact"/>
              <w:jc w:val="center"/>
              <w:rPr>
                <w:rFonts w:ascii="仿宋_GB2312" w:eastAsia="仿宋_GB2312" w:hAnsi="宋体"/>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33</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提交虚假材料、填写虚假信息骗取诚信加分的，或者提交虚假材料、隐瞒不填相关信息躲避诚信扣分的</w:t>
            </w:r>
          </w:p>
        </w:tc>
        <w:tc>
          <w:tcPr>
            <w:tcW w:w="1800" w:type="dxa"/>
          </w:tcPr>
          <w:p w:rsidR="0072498E" w:rsidRDefault="0072498E">
            <w:pPr>
              <w:spacing w:line="640" w:lineRule="exact"/>
              <w:jc w:val="center"/>
              <w:rPr>
                <w:rFonts w:ascii="仿宋_GB2312" w:eastAsia="仿宋_GB2312" w:hAnsi="宋体" w:cs="仿宋_GB2312"/>
                <w:sz w:val="24"/>
                <w:szCs w:val="24"/>
              </w:rPr>
            </w:pPr>
            <w:r>
              <w:rPr>
                <w:rFonts w:ascii="仿宋_GB2312" w:eastAsia="仿宋_GB2312" w:hAnsi="宋体" w:cs="仿宋_GB2312"/>
                <w:sz w:val="24"/>
                <w:szCs w:val="24"/>
              </w:rPr>
              <w:t>20</w:t>
            </w:r>
            <w:r>
              <w:rPr>
                <w:rFonts w:ascii="仿宋_GB2312" w:eastAsia="仿宋_GB2312" w:hAnsi="宋体" w:cs="仿宋_GB2312" w:hint="eastAsia"/>
                <w:sz w:val="24"/>
                <w:szCs w:val="24"/>
              </w:rPr>
              <w:t>分</w:t>
            </w:r>
            <w:r>
              <w:rPr>
                <w:rFonts w:ascii="仿宋_GB2312" w:eastAsia="仿宋_GB2312" w:hAnsi="宋体" w:cs="仿宋_GB2312"/>
                <w:sz w:val="24"/>
                <w:szCs w:val="24"/>
              </w:rPr>
              <w:t>/</w:t>
            </w:r>
            <w:r>
              <w:rPr>
                <w:rFonts w:ascii="仿宋_GB2312" w:eastAsia="仿宋_GB2312" w:hAnsi="宋体" w:cs="仿宋_GB2312" w:hint="eastAsia"/>
                <w:sz w:val="24"/>
                <w:szCs w:val="24"/>
              </w:rPr>
              <w:t>份材料</w:t>
            </w:r>
          </w:p>
        </w:tc>
      </w:tr>
      <w:tr w:rsidR="0072498E">
        <w:trPr>
          <w:trHeight w:val="397"/>
        </w:trPr>
        <w:tc>
          <w:tcPr>
            <w:tcW w:w="777" w:type="dxa"/>
            <w:vAlign w:val="center"/>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34</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从业人员被减分的，其任职企业同等减分，其中聘用不具备任职资格的，其任职企业加倍减分</w:t>
            </w:r>
          </w:p>
        </w:tc>
        <w:tc>
          <w:tcPr>
            <w:tcW w:w="1800" w:type="dxa"/>
          </w:tcPr>
          <w:p w:rsidR="0072498E" w:rsidRDefault="0072498E">
            <w:pPr>
              <w:spacing w:line="640" w:lineRule="exact"/>
              <w:jc w:val="center"/>
              <w:rPr>
                <w:rFonts w:ascii="仿宋_GB2312" w:eastAsia="仿宋_GB2312" w:hAnsi="宋体" w:cs="仿宋_GB2312"/>
                <w:sz w:val="24"/>
                <w:szCs w:val="24"/>
              </w:rPr>
            </w:pPr>
          </w:p>
        </w:tc>
      </w:tr>
      <w:tr w:rsidR="0072498E">
        <w:trPr>
          <w:trHeight w:val="397"/>
        </w:trPr>
        <w:tc>
          <w:tcPr>
            <w:tcW w:w="777" w:type="dxa"/>
          </w:tcPr>
          <w:p w:rsidR="0072498E" w:rsidRDefault="0072498E">
            <w:pPr>
              <w:spacing w:line="640" w:lineRule="exact"/>
              <w:jc w:val="center"/>
              <w:rPr>
                <w:rFonts w:ascii="仿宋_GB2312" w:eastAsia="仿宋_GB2312" w:hAnsi="宋体"/>
                <w:kern w:val="0"/>
                <w:sz w:val="24"/>
                <w:szCs w:val="24"/>
              </w:rPr>
            </w:pPr>
            <w:r>
              <w:rPr>
                <w:rFonts w:ascii="仿宋_GB2312" w:eastAsia="仿宋_GB2312" w:hAnsi="宋体"/>
                <w:kern w:val="0"/>
                <w:sz w:val="24"/>
                <w:szCs w:val="24"/>
              </w:rPr>
              <w:t>35</w:t>
            </w:r>
          </w:p>
        </w:tc>
        <w:tc>
          <w:tcPr>
            <w:tcW w:w="11751" w:type="dxa"/>
          </w:tcPr>
          <w:p w:rsidR="0072498E" w:rsidRDefault="0072498E">
            <w:pPr>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Pr>
          <w:p w:rsidR="0072498E" w:rsidRDefault="0072498E">
            <w:pPr>
              <w:spacing w:line="640" w:lineRule="exact"/>
              <w:jc w:val="center"/>
              <w:rPr>
                <w:rFonts w:ascii="仿宋_GB2312" w:eastAsia="仿宋_GB2312" w:hAnsi="宋体" w:cs="仿宋_GB2312"/>
                <w:sz w:val="24"/>
                <w:szCs w:val="24"/>
              </w:rPr>
            </w:pPr>
          </w:p>
        </w:tc>
      </w:tr>
    </w:tbl>
    <w:p w:rsidR="0072498E" w:rsidRDefault="0072498E">
      <w:pPr>
        <w:spacing w:line="640" w:lineRule="exact"/>
        <w:rPr>
          <w:rFonts w:ascii="仿宋_GB2312" w:eastAsia="仿宋_GB2312"/>
          <w:sz w:val="32"/>
          <w:szCs w:val="32"/>
        </w:rPr>
        <w:sectPr w:rsidR="0072498E">
          <w:type w:val="continuous"/>
          <w:pgSz w:w="16838" w:h="11906" w:orient="landscape"/>
          <w:pgMar w:top="1134" w:right="1134" w:bottom="1134" w:left="1134" w:header="851" w:footer="992" w:gutter="0"/>
          <w:cols w:space="720"/>
          <w:docGrid w:type="lines" w:linePitch="290"/>
        </w:sectPr>
      </w:pPr>
    </w:p>
    <w:p w:rsidR="0072498E" w:rsidRDefault="0072498E">
      <w:pPr>
        <w:spacing w:line="640" w:lineRule="exact"/>
        <w:jc w:val="center"/>
        <w:rPr>
          <w:rFonts w:ascii="仿宋_GB2312" w:eastAsia="仿宋_GB2312"/>
          <w:sz w:val="32"/>
          <w:szCs w:val="32"/>
        </w:rPr>
      </w:pPr>
    </w:p>
    <w:sectPr w:rsidR="0072498E" w:rsidSect="0001495C">
      <w:type w:val="continuous"/>
      <w:pgSz w:w="16838" w:h="11906" w:orient="landscape"/>
      <w:pgMar w:top="1134" w:right="1134" w:bottom="1134" w:left="1134" w:header="851" w:footer="992"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8E" w:rsidRDefault="0072498E" w:rsidP="0001495C">
      <w:r>
        <w:separator/>
      </w:r>
    </w:p>
  </w:endnote>
  <w:endnote w:type="continuationSeparator" w:id="0">
    <w:p w:rsidR="0072498E" w:rsidRDefault="0072498E" w:rsidP="00014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8E" w:rsidRDefault="0072498E">
    <w:pPr>
      <w:pStyle w:val="Footer"/>
      <w:framePr w:wrap="around"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72498E" w:rsidRDefault="00724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8E" w:rsidRDefault="0072498E" w:rsidP="0001495C">
      <w:r>
        <w:separator/>
      </w:r>
    </w:p>
  </w:footnote>
  <w:footnote w:type="continuationSeparator" w:id="0">
    <w:p w:rsidR="0072498E" w:rsidRDefault="0072498E" w:rsidP="00014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4CD"/>
    <w:rsid w:val="000137D4"/>
    <w:rsid w:val="0001495C"/>
    <w:rsid w:val="00016097"/>
    <w:rsid w:val="00016F8C"/>
    <w:rsid w:val="0002117E"/>
    <w:rsid w:val="00024C19"/>
    <w:rsid w:val="00031338"/>
    <w:rsid w:val="000434E1"/>
    <w:rsid w:val="0005389C"/>
    <w:rsid w:val="0005545C"/>
    <w:rsid w:val="00060C3B"/>
    <w:rsid w:val="000633FF"/>
    <w:rsid w:val="00087863"/>
    <w:rsid w:val="00091733"/>
    <w:rsid w:val="0009419F"/>
    <w:rsid w:val="000975E4"/>
    <w:rsid w:val="000A0969"/>
    <w:rsid w:val="000A1BAA"/>
    <w:rsid w:val="000A1DDA"/>
    <w:rsid w:val="000A27DB"/>
    <w:rsid w:val="000A6468"/>
    <w:rsid w:val="000B1477"/>
    <w:rsid w:val="000B710F"/>
    <w:rsid w:val="000C78EE"/>
    <w:rsid w:val="000D2638"/>
    <w:rsid w:val="000D6948"/>
    <w:rsid w:val="000E1CEA"/>
    <w:rsid w:val="000E21F9"/>
    <w:rsid w:val="000F1491"/>
    <w:rsid w:val="000F36C6"/>
    <w:rsid w:val="000F3D51"/>
    <w:rsid w:val="000F4B61"/>
    <w:rsid w:val="001033EE"/>
    <w:rsid w:val="001045E8"/>
    <w:rsid w:val="00106CD4"/>
    <w:rsid w:val="00112608"/>
    <w:rsid w:val="00115BF6"/>
    <w:rsid w:val="001161D1"/>
    <w:rsid w:val="0012086C"/>
    <w:rsid w:val="001256FF"/>
    <w:rsid w:val="00127135"/>
    <w:rsid w:val="00135BB7"/>
    <w:rsid w:val="00146963"/>
    <w:rsid w:val="0015257D"/>
    <w:rsid w:val="00154AEB"/>
    <w:rsid w:val="00155E1F"/>
    <w:rsid w:val="00156D06"/>
    <w:rsid w:val="001571F5"/>
    <w:rsid w:val="001623C9"/>
    <w:rsid w:val="00172583"/>
    <w:rsid w:val="0017707F"/>
    <w:rsid w:val="001934F8"/>
    <w:rsid w:val="00193BCB"/>
    <w:rsid w:val="00194985"/>
    <w:rsid w:val="001949A0"/>
    <w:rsid w:val="00195728"/>
    <w:rsid w:val="00196897"/>
    <w:rsid w:val="001A4B49"/>
    <w:rsid w:val="001B7DC6"/>
    <w:rsid w:val="001C1D89"/>
    <w:rsid w:val="001E548E"/>
    <w:rsid w:val="001E6F65"/>
    <w:rsid w:val="001F7E55"/>
    <w:rsid w:val="00200F46"/>
    <w:rsid w:val="00203CCA"/>
    <w:rsid w:val="00212969"/>
    <w:rsid w:val="0021786F"/>
    <w:rsid w:val="00220C86"/>
    <w:rsid w:val="0022164C"/>
    <w:rsid w:val="00226855"/>
    <w:rsid w:val="00227098"/>
    <w:rsid w:val="002323AF"/>
    <w:rsid w:val="00236520"/>
    <w:rsid w:val="00241E88"/>
    <w:rsid w:val="00246676"/>
    <w:rsid w:val="002468F8"/>
    <w:rsid w:val="002541EC"/>
    <w:rsid w:val="00255221"/>
    <w:rsid w:val="0026519E"/>
    <w:rsid w:val="00271598"/>
    <w:rsid w:val="00282368"/>
    <w:rsid w:val="0028727A"/>
    <w:rsid w:val="00292E04"/>
    <w:rsid w:val="00293A55"/>
    <w:rsid w:val="002961C6"/>
    <w:rsid w:val="002A5479"/>
    <w:rsid w:val="002B776B"/>
    <w:rsid w:val="002C3387"/>
    <w:rsid w:val="002C5AA4"/>
    <w:rsid w:val="002D1FBD"/>
    <w:rsid w:val="002E207F"/>
    <w:rsid w:val="002E6E55"/>
    <w:rsid w:val="002E78A0"/>
    <w:rsid w:val="002F2F52"/>
    <w:rsid w:val="002F5739"/>
    <w:rsid w:val="002F6782"/>
    <w:rsid w:val="003171E1"/>
    <w:rsid w:val="00324C8C"/>
    <w:rsid w:val="00333007"/>
    <w:rsid w:val="00333197"/>
    <w:rsid w:val="00342DFA"/>
    <w:rsid w:val="003544EC"/>
    <w:rsid w:val="00355CA1"/>
    <w:rsid w:val="00355D04"/>
    <w:rsid w:val="003623E6"/>
    <w:rsid w:val="003667E5"/>
    <w:rsid w:val="00372611"/>
    <w:rsid w:val="0037722B"/>
    <w:rsid w:val="00380736"/>
    <w:rsid w:val="00386B81"/>
    <w:rsid w:val="003B3725"/>
    <w:rsid w:val="003C3EEA"/>
    <w:rsid w:val="003C4D85"/>
    <w:rsid w:val="003C5DCB"/>
    <w:rsid w:val="003C7BE2"/>
    <w:rsid w:val="003C7ED1"/>
    <w:rsid w:val="003E0A61"/>
    <w:rsid w:val="003E3F64"/>
    <w:rsid w:val="003F0CE8"/>
    <w:rsid w:val="003F0F0E"/>
    <w:rsid w:val="003F5644"/>
    <w:rsid w:val="003F7163"/>
    <w:rsid w:val="00402518"/>
    <w:rsid w:val="00403CF2"/>
    <w:rsid w:val="00415178"/>
    <w:rsid w:val="004172F6"/>
    <w:rsid w:val="0042398C"/>
    <w:rsid w:val="00423E2C"/>
    <w:rsid w:val="0042605F"/>
    <w:rsid w:val="00433115"/>
    <w:rsid w:val="00436C77"/>
    <w:rsid w:val="004428A4"/>
    <w:rsid w:val="00443FB9"/>
    <w:rsid w:val="004575BB"/>
    <w:rsid w:val="004575D0"/>
    <w:rsid w:val="00466501"/>
    <w:rsid w:val="004709EA"/>
    <w:rsid w:val="004968AE"/>
    <w:rsid w:val="004A1513"/>
    <w:rsid w:val="004A1867"/>
    <w:rsid w:val="004C2F11"/>
    <w:rsid w:val="004C4F6B"/>
    <w:rsid w:val="004E1F10"/>
    <w:rsid w:val="00505D50"/>
    <w:rsid w:val="00516439"/>
    <w:rsid w:val="00520F7D"/>
    <w:rsid w:val="005217BE"/>
    <w:rsid w:val="00523DCB"/>
    <w:rsid w:val="00523EE1"/>
    <w:rsid w:val="00525EBC"/>
    <w:rsid w:val="00526ACF"/>
    <w:rsid w:val="005330EB"/>
    <w:rsid w:val="00534BB1"/>
    <w:rsid w:val="00547784"/>
    <w:rsid w:val="0055104E"/>
    <w:rsid w:val="005514F2"/>
    <w:rsid w:val="0055221C"/>
    <w:rsid w:val="00553C2F"/>
    <w:rsid w:val="0055759A"/>
    <w:rsid w:val="005738DA"/>
    <w:rsid w:val="005823AF"/>
    <w:rsid w:val="00584FAB"/>
    <w:rsid w:val="00591BDB"/>
    <w:rsid w:val="005936BC"/>
    <w:rsid w:val="005970F9"/>
    <w:rsid w:val="005A0641"/>
    <w:rsid w:val="005A37AC"/>
    <w:rsid w:val="005A409D"/>
    <w:rsid w:val="005C1770"/>
    <w:rsid w:val="005D0358"/>
    <w:rsid w:val="005D28B0"/>
    <w:rsid w:val="005D38C9"/>
    <w:rsid w:val="005D4B64"/>
    <w:rsid w:val="005E62D0"/>
    <w:rsid w:val="005E7BC9"/>
    <w:rsid w:val="005F658F"/>
    <w:rsid w:val="006145E0"/>
    <w:rsid w:val="0061645C"/>
    <w:rsid w:val="00627559"/>
    <w:rsid w:val="00640597"/>
    <w:rsid w:val="00657ABE"/>
    <w:rsid w:val="006620ED"/>
    <w:rsid w:val="0066383B"/>
    <w:rsid w:val="00667185"/>
    <w:rsid w:val="006713CC"/>
    <w:rsid w:val="0067155F"/>
    <w:rsid w:val="006747D0"/>
    <w:rsid w:val="00680FFC"/>
    <w:rsid w:val="00684276"/>
    <w:rsid w:val="006871F5"/>
    <w:rsid w:val="006B4F7C"/>
    <w:rsid w:val="006B5075"/>
    <w:rsid w:val="006B68D5"/>
    <w:rsid w:val="006D17E3"/>
    <w:rsid w:val="006D23CE"/>
    <w:rsid w:val="006D34DF"/>
    <w:rsid w:val="006D48B6"/>
    <w:rsid w:val="006E5979"/>
    <w:rsid w:val="006F7478"/>
    <w:rsid w:val="0070222F"/>
    <w:rsid w:val="00703A5F"/>
    <w:rsid w:val="0070444F"/>
    <w:rsid w:val="007134D6"/>
    <w:rsid w:val="00713B02"/>
    <w:rsid w:val="0072498E"/>
    <w:rsid w:val="00734990"/>
    <w:rsid w:val="007438D9"/>
    <w:rsid w:val="0074610D"/>
    <w:rsid w:val="00746C86"/>
    <w:rsid w:val="00750C5C"/>
    <w:rsid w:val="007557ED"/>
    <w:rsid w:val="00757740"/>
    <w:rsid w:val="0075776A"/>
    <w:rsid w:val="007616E5"/>
    <w:rsid w:val="00770852"/>
    <w:rsid w:val="00775606"/>
    <w:rsid w:val="00794C4E"/>
    <w:rsid w:val="007A09BF"/>
    <w:rsid w:val="007A4E1D"/>
    <w:rsid w:val="007C3A03"/>
    <w:rsid w:val="007C6F3A"/>
    <w:rsid w:val="007D39A2"/>
    <w:rsid w:val="008026F9"/>
    <w:rsid w:val="00802EB6"/>
    <w:rsid w:val="0080539D"/>
    <w:rsid w:val="00811B36"/>
    <w:rsid w:val="0082233F"/>
    <w:rsid w:val="00833725"/>
    <w:rsid w:val="00844722"/>
    <w:rsid w:val="008452A6"/>
    <w:rsid w:val="00850BD6"/>
    <w:rsid w:val="00852FD5"/>
    <w:rsid w:val="00854A6F"/>
    <w:rsid w:val="00855B8F"/>
    <w:rsid w:val="00856594"/>
    <w:rsid w:val="00864AF8"/>
    <w:rsid w:val="00867D4C"/>
    <w:rsid w:val="00872732"/>
    <w:rsid w:val="00874F61"/>
    <w:rsid w:val="00877596"/>
    <w:rsid w:val="0088163B"/>
    <w:rsid w:val="008870E7"/>
    <w:rsid w:val="008874A6"/>
    <w:rsid w:val="0089021F"/>
    <w:rsid w:val="00890B6F"/>
    <w:rsid w:val="008C3E5E"/>
    <w:rsid w:val="008D0982"/>
    <w:rsid w:val="008D723C"/>
    <w:rsid w:val="008D77B1"/>
    <w:rsid w:val="008E114D"/>
    <w:rsid w:val="008E56D7"/>
    <w:rsid w:val="008E5DA8"/>
    <w:rsid w:val="008F18C5"/>
    <w:rsid w:val="008F2302"/>
    <w:rsid w:val="00900910"/>
    <w:rsid w:val="0090534B"/>
    <w:rsid w:val="00906A06"/>
    <w:rsid w:val="0091252F"/>
    <w:rsid w:val="009162C8"/>
    <w:rsid w:val="00921858"/>
    <w:rsid w:val="009231B2"/>
    <w:rsid w:val="009241C6"/>
    <w:rsid w:val="009246E6"/>
    <w:rsid w:val="0093036C"/>
    <w:rsid w:val="0093191F"/>
    <w:rsid w:val="00932285"/>
    <w:rsid w:val="00932BB1"/>
    <w:rsid w:val="00952472"/>
    <w:rsid w:val="00953E99"/>
    <w:rsid w:val="0096604C"/>
    <w:rsid w:val="0097677B"/>
    <w:rsid w:val="00976B4A"/>
    <w:rsid w:val="0098208D"/>
    <w:rsid w:val="00983218"/>
    <w:rsid w:val="009908FB"/>
    <w:rsid w:val="009A2316"/>
    <w:rsid w:val="009A3A09"/>
    <w:rsid w:val="009A7E29"/>
    <w:rsid w:val="009C1977"/>
    <w:rsid w:val="009C1AF4"/>
    <w:rsid w:val="009C31C7"/>
    <w:rsid w:val="009C4E08"/>
    <w:rsid w:val="009C5638"/>
    <w:rsid w:val="009D27BE"/>
    <w:rsid w:val="009D37A8"/>
    <w:rsid w:val="009D6C3E"/>
    <w:rsid w:val="009E1ABE"/>
    <w:rsid w:val="009E30CF"/>
    <w:rsid w:val="009E6A0F"/>
    <w:rsid w:val="009F4AA2"/>
    <w:rsid w:val="00A06857"/>
    <w:rsid w:val="00A11435"/>
    <w:rsid w:val="00A1544A"/>
    <w:rsid w:val="00A17093"/>
    <w:rsid w:val="00A1722B"/>
    <w:rsid w:val="00A210FE"/>
    <w:rsid w:val="00A21161"/>
    <w:rsid w:val="00A2585B"/>
    <w:rsid w:val="00A4321E"/>
    <w:rsid w:val="00A4656D"/>
    <w:rsid w:val="00A467A8"/>
    <w:rsid w:val="00A472ED"/>
    <w:rsid w:val="00A77E09"/>
    <w:rsid w:val="00A8090C"/>
    <w:rsid w:val="00A84A7F"/>
    <w:rsid w:val="00A84C6B"/>
    <w:rsid w:val="00A86B3B"/>
    <w:rsid w:val="00A91821"/>
    <w:rsid w:val="00A97573"/>
    <w:rsid w:val="00AA1D1C"/>
    <w:rsid w:val="00AA1D83"/>
    <w:rsid w:val="00AA599A"/>
    <w:rsid w:val="00AA7A4D"/>
    <w:rsid w:val="00AB564B"/>
    <w:rsid w:val="00AC1DCC"/>
    <w:rsid w:val="00AC4987"/>
    <w:rsid w:val="00AC5401"/>
    <w:rsid w:val="00AD1E9D"/>
    <w:rsid w:val="00AD2033"/>
    <w:rsid w:val="00AD3A02"/>
    <w:rsid w:val="00AD61A2"/>
    <w:rsid w:val="00AE1D65"/>
    <w:rsid w:val="00AE3F3F"/>
    <w:rsid w:val="00AF2862"/>
    <w:rsid w:val="00AF3AF4"/>
    <w:rsid w:val="00AF5993"/>
    <w:rsid w:val="00B10C39"/>
    <w:rsid w:val="00B11837"/>
    <w:rsid w:val="00B15C15"/>
    <w:rsid w:val="00B16FC3"/>
    <w:rsid w:val="00B23095"/>
    <w:rsid w:val="00B24564"/>
    <w:rsid w:val="00B25FB3"/>
    <w:rsid w:val="00B3248B"/>
    <w:rsid w:val="00B3387B"/>
    <w:rsid w:val="00B4238C"/>
    <w:rsid w:val="00B43C7A"/>
    <w:rsid w:val="00B54613"/>
    <w:rsid w:val="00B618CF"/>
    <w:rsid w:val="00B61A85"/>
    <w:rsid w:val="00B62004"/>
    <w:rsid w:val="00B65702"/>
    <w:rsid w:val="00B677DC"/>
    <w:rsid w:val="00B67988"/>
    <w:rsid w:val="00B7195B"/>
    <w:rsid w:val="00B71990"/>
    <w:rsid w:val="00B752D6"/>
    <w:rsid w:val="00B766C3"/>
    <w:rsid w:val="00B76BF9"/>
    <w:rsid w:val="00B871C0"/>
    <w:rsid w:val="00B87F9F"/>
    <w:rsid w:val="00B94D9E"/>
    <w:rsid w:val="00B95064"/>
    <w:rsid w:val="00BA05C1"/>
    <w:rsid w:val="00BA19ED"/>
    <w:rsid w:val="00BA5B27"/>
    <w:rsid w:val="00BB0762"/>
    <w:rsid w:val="00BB20C5"/>
    <w:rsid w:val="00BC0488"/>
    <w:rsid w:val="00BC12A6"/>
    <w:rsid w:val="00BC27F3"/>
    <w:rsid w:val="00BD02E3"/>
    <w:rsid w:val="00BD3F32"/>
    <w:rsid w:val="00BE11F8"/>
    <w:rsid w:val="00BE21A6"/>
    <w:rsid w:val="00BE365D"/>
    <w:rsid w:val="00C01585"/>
    <w:rsid w:val="00C12382"/>
    <w:rsid w:val="00C25AE1"/>
    <w:rsid w:val="00C2729F"/>
    <w:rsid w:val="00C31112"/>
    <w:rsid w:val="00C35D1F"/>
    <w:rsid w:val="00C44C24"/>
    <w:rsid w:val="00C52B29"/>
    <w:rsid w:val="00C537D1"/>
    <w:rsid w:val="00C55B5D"/>
    <w:rsid w:val="00C62652"/>
    <w:rsid w:val="00C62E89"/>
    <w:rsid w:val="00C64987"/>
    <w:rsid w:val="00C673B5"/>
    <w:rsid w:val="00C77CE7"/>
    <w:rsid w:val="00C81264"/>
    <w:rsid w:val="00C84FFC"/>
    <w:rsid w:val="00C91FF6"/>
    <w:rsid w:val="00C94332"/>
    <w:rsid w:val="00CA57C3"/>
    <w:rsid w:val="00CB44F3"/>
    <w:rsid w:val="00CB5EFA"/>
    <w:rsid w:val="00CC081A"/>
    <w:rsid w:val="00CC5EC2"/>
    <w:rsid w:val="00CE0750"/>
    <w:rsid w:val="00CE26DC"/>
    <w:rsid w:val="00CE6DED"/>
    <w:rsid w:val="00CF2639"/>
    <w:rsid w:val="00CF2952"/>
    <w:rsid w:val="00CF42DA"/>
    <w:rsid w:val="00CF5130"/>
    <w:rsid w:val="00CF57FC"/>
    <w:rsid w:val="00D00DCE"/>
    <w:rsid w:val="00D045C9"/>
    <w:rsid w:val="00D15185"/>
    <w:rsid w:val="00D23FCD"/>
    <w:rsid w:val="00D248DE"/>
    <w:rsid w:val="00D25F1C"/>
    <w:rsid w:val="00D32E8D"/>
    <w:rsid w:val="00D4109B"/>
    <w:rsid w:val="00D41D36"/>
    <w:rsid w:val="00D4277E"/>
    <w:rsid w:val="00D45791"/>
    <w:rsid w:val="00D50EC1"/>
    <w:rsid w:val="00D55213"/>
    <w:rsid w:val="00D55719"/>
    <w:rsid w:val="00D564CD"/>
    <w:rsid w:val="00D57AF6"/>
    <w:rsid w:val="00D65910"/>
    <w:rsid w:val="00D65975"/>
    <w:rsid w:val="00D66C81"/>
    <w:rsid w:val="00D70904"/>
    <w:rsid w:val="00D709E7"/>
    <w:rsid w:val="00D87DC2"/>
    <w:rsid w:val="00D960B2"/>
    <w:rsid w:val="00DA0E36"/>
    <w:rsid w:val="00DA36B6"/>
    <w:rsid w:val="00DA6037"/>
    <w:rsid w:val="00DB1831"/>
    <w:rsid w:val="00DB3823"/>
    <w:rsid w:val="00DC0884"/>
    <w:rsid w:val="00DC42FE"/>
    <w:rsid w:val="00DC5156"/>
    <w:rsid w:val="00DC72BC"/>
    <w:rsid w:val="00DD27B8"/>
    <w:rsid w:val="00DD41D9"/>
    <w:rsid w:val="00DE1E44"/>
    <w:rsid w:val="00DF1170"/>
    <w:rsid w:val="00DF3378"/>
    <w:rsid w:val="00E041AE"/>
    <w:rsid w:val="00E152BB"/>
    <w:rsid w:val="00E23CF7"/>
    <w:rsid w:val="00E26A00"/>
    <w:rsid w:val="00E379E0"/>
    <w:rsid w:val="00E50DEE"/>
    <w:rsid w:val="00E56365"/>
    <w:rsid w:val="00E70A06"/>
    <w:rsid w:val="00E73E4A"/>
    <w:rsid w:val="00E8199E"/>
    <w:rsid w:val="00E8212B"/>
    <w:rsid w:val="00E84EA8"/>
    <w:rsid w:val="00E862B8"/>
    <w:rsid w:val="00E87DBD"/>
    <w:rsid w:val="00E90CB8"/>
    <w:rsid w:val="00E96829"/>
    <w:rsid w:val="00EA20AA"/>
    <w:rsid w:val="00EB192B"/>
    <w:rsid w:val="00EB567E"/>
    <w:rsid w:val="00EB6112"/>
    <w:rsid w:val="00EB623A"/>
    <w:rsid w:val="00EC18BD"/>
    <w:rsid w:val="00EC2823"/>
    <w:rsid w:val="00EC78CC"/>
    <w:rsid w:val="00ED4D04"/>
    <w:rsid w:val="00EE0C59"/>
    <w:rsid w:val="00EE419C"/>
    <w:rsid w:val="00EF144D"/>
    <w:rsid w:val="00EF4EB3"/>
    <w:rsid w:val="00EF5345"/>
    <w:rsid w:val="00EF6C59"/>
    <w:rsid w:val="00F02008"/>
    <w:rsid w:val="00F03D3C"/>
    <w:rsid w:val="00F13F49"/>
    <w:rsid w:val="00F21037"/>
    <w:rsid w:val="00F26076"/>
    <w:rsid w:val="00F371AC"/>
    <w:rsid w:val="00F41FB2"/>
    <w:rsid w:val="00F60009"/>
    <w:rsid w:val="00F60930"/>
    <w:rsid w:val="00F6175D"/>
    <w:rsid w:val="00F719EC"/>
    <w:rsid w:val="00F72862"/>
    <w:rsid w:val="00F72B96"/>
    <w:rsid w:val="00F751DB"/>
    <w:rsid w:val="00F81C38"/>
    <w:rsid w:val="00F8776B"/>
    <w:rsid w:val="00F900B0"/>
    <w:rsid w:val="00F958A6"/>
    <w:rsid w:val="00F97E23"/>
    <w:rsid w:val="00F97FB0"/>
    <w:rsid w:val="00FB2BBA"/>
    <w:rsid w:val="00FB52DE"/>
    <w:rsid w:val="00FB67B2"/>
    <w:rsid w:val="00FB72BE"/>
    <w:rsid w:val="00FD3ADC"/>
    <w:rsid w:val="00FD3F21"/>
    <w:rsid w:val="00FE16D0"/>
    <w:rsid w:val="00FE1A2B"/>
    <w:rsid w:val="00FE1E8C"/>
    <w:rsid w:val="0AC774F7"/>
    <w:rsid w:val="21F92A3A"/>
    <w:rsid w:val="24093034"/>
    <w:rsid w:val="242C30C4"/>
    <w:rsid w:val="2C6426F1"/>
    <w:rsid w:val="3C6E1210"/>
    <w:rsid w:val="4229795E"/>
    <w:rsid w:val="436468B0"/>
    <w:rsid w:val="537049E3"/>
    <w:rsid w:val="541949D7"/>
    <w:rsid w:val="56A923D3"/>
    <w:rsid w:val="5F40050C"/>
    <w:rsid w:val="60E57672"/>
    <w:rsid w:val="6C824F69"/>
    <w:rsid w:val="6CD31034"/>
    <w:rsid w:val="70AB5244"/>
    <w:rsid w:val="73763159"/>
    <w:rsid w:val="77D624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495C"/>
    <w:pPr>
      <w:widowControl w:val="0"/>
      <w:jc w:val="both"/>
    </w:pPr>
    <w:rPr>
      <w:szCs w:val="21"/>
    </w:rPr>
  </w:style>
  <w:style w:type="paragraph" w:styleId="Heading1">
    <w:name w:val="heading 1"/>
    <w:basedOn w:val="Normal"/>
    <w:next w:val="Normal"/>
    <w:link w:val="Heading1Char"/>
    <w:uiPriority w:val="99"/>
    <w:qFormat/>
    <w:locked/>
    <w:rsid w:val="0001495C"/>
    <w:pPr>
      <w:keepNext/>
      <w:keepLines/>
      <w:spacing w:before="340" w:after="330" w:line="576" w:lineRule="auto"/>
      <w:outlineLvl w:val="0"/>
    </w:pPr>
    <w:rPr>
      <w:rFonts w:ascii="Calibri" w:hAnsi="Calibri" w:cs="Calibri"/>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495C"/>
    <w:rPr>
      <w:rFonts w:ascii="Calibri" w:eastAsia="宋体" w:hAnsi="Calibri" w:cs="Calibri"/>
      <w:b/>
      <w:bCs/>
      <w:kern w:val="44"/>
      <w:sz w:val="44"/>
      <w:szCs w:val="44"/>
      <w:lang w:val="en-US" w:eastAsia="zh-CN" w:bidi="ar-SA"/>
    </w:rPr>
  </w:style>
  <w:style w:type="paragraph" w:styleId="CommentText">
    <w:name w:val="annotation text"/>
    <w:basedOn w:val="Normal"/>
    <w:link w:val="CommentTextChar"/>
    <w:uiPriority w:val="99"/>
    <w:rsid w:val="0001495C"/>
    <w:pPr>
      <w:jc w:val="left"/>
    </w:pPr>
  </w:style>
  <w:style w:type="character" w:customStyle="1" w:styleId="CommentTextChar">
    <w:name w:val="Comment Text Char"/>
    <w:basedOn w:val="DefaultParagraphFont"/>
    <w:link w:val="CommentText"/>
    <w:uiPriority w:val="99"/>
    <w:locked/>
    <w:rsid w:val="0001495C"/>
    <w:rPr>
      <w:rFonts w:cs="Times New Roman"/>
      <w:kern w:val="2"/>
      <w:sz w:val="21"/>
      <w:szCs w:val="21"/>
    </w:rPr>
  </w:style>
  <w:style w:type="paragraph" w:styleId="CommentSubject">
    <w:name w:val="annotation subject"/>
    <w:basedOn w:val="CommentText"/>
    <w:next w:val="CommentText"/>
    <w:link w:val="CommentSubjectChar"/>
    <w:uiPriority w:val="99"/>
    <w:rsid w:val="0001495C"/>
    <w:rPr>
      <w:b/>
      <w:bCs/>
    </w:rPr>
  </w:style>
  <w:style w:type="character" w:customStyle="1" w:styleId="CommentSubjectChar">
    <w:name w:val="Comment Subject Char"/>
    <w:basedOn w:val="CommentTextChar"/>
    <w:link w:val="CommentSubject"/>
    <w:uiPriority w:val="99"/>
    <w:locked/>
    <w:rsid w:val="0001495C"/>
    <w:rPr>
      <w:b/>
      <w:bCs/>
    </w:rPr>
  </w:style>
  <w:style w:type="paragraph" w:styleId="BalloonText">
    <w:name w:val="Balloon Text"/>
    <w:basedOn w:val="Normal"/>
    <w:link w:val="BalloonTextChar"/>
    <w:uiPriority w:val="99"/>
    <w:semiHidden/>
    <w:rsid w:val="0001495C"/>
    <w:rPr>
      <w:sz w:val="18"/>
      <w:szCs w:val="18"/>
    </w:rPr>
  </w:style>
  <w:style w:type="character" w:customStyle="1" w:styleId="BalloonTextChar">
    <w:name w:val="Balloon Text Char"/>
    <w:basedOn w:val="DefaultParagraphFont"/>
    <w:link w:val="BalloonText"/>
    <w:uiPriority w:val="99"/>
    <w:semiHidden/>
    <w:locked/>
    <w:rsid w:val="0001495C"/>
    <w:rPr>
      <w:rFonts w:cs="Times New Roman"/>
      <w:sz w:val="2"/>
      <w:szCs w:val="2"/>
    </w:rPr>
  </w:style>
  <w:style w:type="paragraph" w:styleId="Footer">
    <w:name w:val="footer"/>
    <w:basedOn w:val="Normal"/>
    <w:link w:val="FooterChar"/>
    <w:uiPriority w:val="99"/>
    <w:rsid w:val="000149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1495C"/>
    <w:rPr>
      <w:rFonts w:cs="Times New Roman"/>
      <w:kern w:val="2"/>
      <w:sz w:val="18"/>
      <w:szCs w:val="18"/>
    </w:rPr>
  </w:style>
  <w:style w:type="paragraph" w:styleId="Header">
    <w:name w:val="header"/>
    <w:basedOn w:val="Normal"/>
    <w:link w:val="HeaderChar"/>
    <w:uiPriority w:val="99"/>
    <w:rsid w:val="000149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1495C"/>
    <w:rPr>
      <w:rFonts w:cs="Times New Roman"/>
      <w:kern w:val="2"/>
      <w:sz w:val="18"/>
      <w:szCs w:val="18"/>
    </w:rPr>
  </w:style>
  <w:style w:type="character" w:styleId="PageNumber">
    <w:name w:val="page number"/>
    <w:basedOn w:val="DefaultParagraphFont"/>
    <w:uiPriority w:val="99"/>
    <w:rsid w:val="0001495C"/>
    <w:rPr>
      <w:rFonts w:cs="Times New Roman"/>
    </w:rPr>
  </w:style>
  <w:style w:type="character" w:styleId="CommentReference">
    <w:name w:val="annotation reference"/>
    <w:basedOn w:val="DefaultParagraphFont"/>
    <w:uiPriority w:val="99"/>
    <w:rsid w:val="0001495C"/>
    <w:rPr>
      <w:rFonts w:cs="Times New Roman"/>
      <w:sz w:val="21"/>
      <w:szCs w:val="21"/>
    </w:rPr>
  </w:style>
  <w:style w:type="character" w:customStyle="1" w:styleId="CharChar">
    <w:name w:val="Char Char"/>
    <w:basedOn w:val="DefaultParagraphFont"/>
    <w:uiPriority w:val="99"/>
    <w:rsid w:val="0001495C"/>
    <w:rPr>
      <w:rFonts w:ascii="Calibri" w:hAnsi="Calibri" w:cs="Calibri"/>
      <w:kern w:val="2"/>
      <w:sz w:val="18"/>
      <w:szCs w:val="18"/>
    </w:rPr>
  </w:style>
  <w:style w:type="character" w:customStyle="1" w:styleId="CharChar1">
    <w:name w:val="Char Char1"/>
    <w:basedOn w:val="DefaultParagraphFont"/>
    <w:uiPriority w:val="99"/>
    <w:rsid w:val="0001495C"/>
    <w:rPr>
      <w:rFonts w:ascii="Calibri" w:eastAsia="宋体" w:hAnsi="Calibri" w:cs="Calibri"/>
      <w:b/>
      <w:bCs/>
      <w:kern w:val="44"/>
      <w:sz w:val="44"/>
      <w:szCs w:val="44"/>
      <w:lang w:val="en-US" w:eastAsia="zh-CN"/>
    </w:rPr>
  </w:style>
  <w:style w:type="character" w:customStyle="1" w:styleId="msoins0">
    <w:name w:val="msoins"/>
    <w:basedOn w:val="DefaultParagraphFont"/>
    <w:uiPriority w:val="99"/>
    <w:rsid w:val="0001495C"/>
    <w:rPr>
      <w:rFonts w:cs="Times New Roman"/>
    </w:rPr>
  </w:style>
  <w:style w:type="character" w:customStyle="1" w:styleId="apple-converted-space">
    <w:name w:val="apple-converted-space"/>
    <w:basedOn w:val="DefaultParagraphFont"/>
    <w:uiPriority w:val="99"/>
    <w:rsid w:val="0001495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1001</Words>
  <Characters>5711</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佛山市住房和城乡建设管理局房地产行业诚信管理办法</dc:title>
  <dc:subject/>
  <dc:creator>Administrator</dc:creator>
  <cp:keywords/>
  <dc:description/>
  <cp:lastModifiedBy>AutoBVT</cp:lastModifiedBy>
  <cp:revision>16</cp:revision>
  <cp:lastPrinted>2017-04-20T09:50:00Z</cp:lastPrinted>
  <dcterms:created xsi:type="dcterms:W3CDTF">2017-08-21T03:15:00Z</dcterms:created>
  <dcterms:modified xsi:type="dcterms:W3CDTF">2018-06-06T01:28:00Z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